
<file path=[Content_Types].xml><?xml version="1.0" encoding="utf-8"?>
<Types xmlns="http://schemas.openxmlformats.org/package/2006/content-types">
  <Default Extension="rels" ContentType="application/vnd.openxmlformats-package.relationships+xml"/>
  <Default Extension="xml" ContentType="application/xml"/>
  <Default Extension="docx" ContentType="application/vnd.openxmlformats-officedocument.wordprocessingml.document.mai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bookmarkStart w:name="Std_Type2" w:id="0"/>
      <w:r w:rsidRPr="00F6439B">
        <w:rPr>
          <w:rFonts w:hint="eastAsia" w:ascii="新細明體" w:hAnsi="新細明體" w:eastAsia="新細明體" w:cs="新細明體"/>
          <w:color w:val="000000"/>
        </w:rPr>
        <w:t>證券商內部控制制度標準規範</w:t>
      </w:r>
      <w:bookmarkEnd w:id="0"/>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CI-12000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有價證券投資取得、處分作業</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配合證券交易法第43條之1修正，明定投資公開發行公司已發行股份總額超過一定比率者，應向主管機關申報及公告。</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投資之對象、金額等，應經權責主管核准並依公司訂定之取得或處分資產處理程序辦理；若公司本身為公開發行公司，其取得或處分有價證券投資尚應依「公開發行公司取得或處分資產處理準則」等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投資之對象、金額等，應經權責主管核准並依公司訂定之取得或處分資產處理程序辦理；若公司本身為公開發行公司，其取得或處分有價證券投資尚應依「公開發行公司取得或處分資產處理準則」等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購買有價證券除無記名公債外，應以公司名義登記持有，且所有有價證券均應確實記錄變動情形，並編製明細表，詳細登記購買或出售日期、名稱、面值、數量及號碼等，並註明有價證券附帶利息及還本方式與付息方法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購買有價證券除無記名公債外，應以公司名義登記持有，且所有有價證券均應確實記錄變動情形，並編製明細表，詳細登記購買或出售日期、名稱、面值、數量及號碼等，並註明有價證券附帶利息及還本方式與付息方法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公司購買有價證券及轉投資不得違反「證券商管理規則」第十八條、第十八條之一、證交所「營業細則」第二十八條及其他證券管理相關規定之限制。依金融資產證券化條例擔任創始機構，應依主管機關104年1月21日金管證券字第10300522234號令之規定辦理。公司出借有價證券，應訂定相關風險控管措施（註：請公司自訂），公司出借其所持有之有價證券金額仍應分別計入證券商管理規則第十八條、第十八條之一及第十九條規定之相關限額規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公司購買有價證券及轉投資不得違反「證券商管理規則」第十八條、第十八條之一、證交所「營業細則」第二十八條及其他證券管理相關規定之限制。依金融資產證券化條例擔任創始機構，應依主管機關104年1月21日金管證券字第10300522234號令之規定辦理。公司出借有價證券，應訂定相關風險控管措施（註：請公司自訂），公司出借其所持有之有價證券金額仍應分別計入證券商管理規則第十八條、第十八條之一及第十九條規定之相關限額規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公司因遺失客戶股票而取得之上市公司股票，應依規定向證交所報備，經辦理掛失取得補發新股票應自取得法院除權判決之日起三個月內處理；其因參與除權所配發之增資新股亦應於發放日起三個月內處理。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公司因遺失客戶股票而取得之上市公司股票，應依規定向證交所報備，經辦理掛失取得補發新股票應自取得法院除權判決之日起三個月內處理；其因參與除權所配發之增資新股亦應於發放日起三個月內處理。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公司因臨時性大筆資金支出，而現金不敷需求時，財務部門應將有關資料，呈請權責主管核決，將投資中途解約、轉售或質借，以供應急。經核定後，將有價證券取出處理，並將取得款項交由出納存入公司銀行帳戶及通知會計部門作相關帳務處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公司因臨時性大筆資金支出，而現金不敷需求時，財務部門應將有關資料，呈請權責主管核決，將投資中途解約、轉售或質借，以供應急。經核定後，將有價證券取出處理，並將取得款項交由出納存入公司銀行帳戶及通知會計部門作相關帳務處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公司因擴展業務或其他原因，所為對重大長期股權投資之處分，應由董事會核定之。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公司因擴展業務或其他原因，所為對重大長期股權投資之處分，應由董事會核定之。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重大長期股權投資之處分，其交易價格之決定原則：</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重大長期股權投資之處分，其交易價格之決定原則：</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需於集中市場或證券商營業處所進行者：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需於集中市場或證券商營業處所進行者：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權責單位應依市場行情研判，呈請權責主管核准決定出售價格。</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權責單位應依市場行情研判，呈請權責主管核准決定出售價格。</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不需於集中市場或證券商營業處所進行者：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不需於集中市場或證券商營業處所進行者：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權責單位將交易價格之參考依據或計算及交易條件，必要時得洽請證券分析專家，對價格之合理性表示意見，並詳細說明評估之依據，呈請權責主管核准，決定出售價格。</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權責單位將交易價格之參考依據或計算及交易條件，必要時得洽請證券分析專家，對價格之合理性表示意見，並詳細說明評估之依據，呈請權責主管核准，決定出售價格。</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公司投資外國事業及大陸地區非證券期貨機構應依「證券商管理規則」第五章、金管會113年9月26日金管證券字第11303479011號令及107年6月1日金管證券字第10703209012號令等相關規定辦理。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公司投資外國事業及大陸地區非證券期貨機構應依「證券商管理規則」第五章、金管會113年9月26日金管證券字第11303479011號令及107年6月1日金管證券字第10703209012號令等相關規定辦理。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在香港、澳門設立分支機構或子公司應依「臺灣地區證券及期貨機構在香港、澳門設立分支機構子公司許可辦法」之規定申報；分支機構或子公司轉投資當地證券、期貨相關機構亦應依上開規定辦理。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在香港、澳門設立分支機構或子公司應依「臺灣地區證券及期貨機構在香港、澳門設立分支機構子公司許可辦法」之規定申報；分支機構或子公司轉投資當地證券、期貨相關機構亦應依上開規定辦理。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在臺灣地區以外之國家或地區設立分支機構(含子公司)如因業務需要需取得大陸地區證券交易所之席位或會員，或與大陸地區之法人、團體、其他機構或其在大陸地區以外國家或地區設立分支機構為證券及期貨業務往來，應依「臺灣地區與大陸地區證券期貨業務往來及投資許可管理辦法」之規定，向主管機關申請許可始得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在臺灣地區以外之國家或地區設立分支機構(含子公司)如因業務需要需取得大陸地區證券交易所之席位或會員，或與大陸地區之法人、團體、其他機構或其在大陸地區以外國家或地區設立分支機構為證券及期貨業務往來，應依「臺灣地區與大陸地區證券期貨業務往來及投資許可管理辦法」之規定，向主管機關申請許可始得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依「臺灣地區與大陸地區證券期貨業務往來及投資許可管理辦法」之規定，經向主管機關申請許可在大陸地區直接設立辦事處者，應要求在大陸地區之代表人辦事處每季提交業務報告(包括組織編制及人員配置、業務辦理情形、收支狀況、效益評估等)，並定期派員赴大陸地區進行內部稽核，業務報告及稽核報告應併年度稽核計畫送由證交所轉送主管機關。</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依「臺灣地區與大陸地區證券期貨業務往來及投資許可管理辦法」之規定，經向主管機關申請許可在大陸地區直接設立辦事處者，應要求在大陸地區之代表人辦事處每季提交業務報告(包括組織編制及人員配置、業務辦理情形、收支狀況、效益評估等)，並定期派員赴大陸地區進行內部稽核，業務報告及稽核報告應併年度稽核計畫送由證交所轉送主管機關。</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公司轉投資證券投資信託公司經理之債券型基金，應逐案提董事會討論，並經過全體董事過半數支持。投資後應於兩日內向證交所申報。檢具書件如下：董事會議事錄、基金及經理人名稱、購買金額及數量、基金投資組合、符合相關投資額度及資本適足比率之聲明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公司轉投資證券投資信託公司經理之債券型基金，應逐案提董事會討論，並經過全體董事過半數支持。投資後應於兩日內向證交所申報。檢具書件如下：董事會議事錄、基金及經理人名稱、購買金額及數量、基金投資組合、符合相關投資額度及資本適足比率之聲明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公司或其第三地區子公司投資大陸地區證券期貨機構，應依「臺灣地區與大陸地區證券期貨業務往來及投資許可管理辦法」之規定辦理。公司或其第三地區子公司經許可在大陸地區投資證券期貨機構之投資總金額，合計不得超過公司淨值百分之四十。</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公司或其第三地區子公司投資大陸地區證券期貨機構，應依「臺灣地區與大陸地區證券期貨業務往來及投資許可管理辦法」之規定辦理。公司或其第三地區子公司經許可在大陸地區投資證券期貨機構之投資總金額，合計不得超過公司淨值百分之四十。</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公司經主管機關核准之轉投資事項，有營業項目或重大營運政策變更等重大事件時，應依金管會113年9月26日金管證券字第1130347901號令第13點、「證券商管理規則」第53條、「臺灣地區與大陸地區證券期貨業務往來及投資許可管理辦法」第22條、第24-8至24-10條等規定，檢具事由及相關資料向主管機關申報。</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公司經主管機關核准之轉投資事項，有營業項目或重大營運政策變更等重大事件時，應依金管會113年9月26日金管證券字第1130347901號令第13點、「證券商管理規則」第53條、「臺灣地區與大陸地區證券期貨業務往來及投資許可管理辦法」第22條、第24-8至24-10條等規定，檢具事由及相關資料向主管機關申報。</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公司經主管機關核准或許可轉投資外國及大陸事業者，應依「證券商管理規則」第53條之1、「臺灣地區與大陸地區證券期貨業務往來及投資許可管理辦法」第23條及第24-11條規定，定期向主管機關申報所投資事業之業務辦理情形及營運狀況等資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公司經主管機關核准或許可轉投資外國及大陸事業者，應依「證券商管理規則」第53條之1、「臺灣地區與大陸地區證券期貨業務往來及投資許可管理辦法」第23條及第24-11條規定，定期向主管機關申報所投資事業之業務辦理情形及營運狀況等資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公司因承銷取得或自營持有之公司債部位及依金融資產證券化條例擔任創始機構，因信用增強目的而持有受益證券或資產基礎證券，基於避險需要與經核准辦理新臺幣信用違約交換（Credit Default Swap）業務之金融機構進行新臺幣信用違約交換交易，應依「公開發行公司取得或處分資產處理準則」規定，訂定該類衍生性金融商品交易之處理程序，或納入既有之「從事衍生性商品交易處理程序」辦理。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公司因承銷取得或自營持有之公司債部位及依金融資產證券化條例擔任創始機構，因信用增強目的而持有受益證券或資產基礎證券，基於避險需要與經核准辦理新臺幣信用違約交換（Credit Default Swap）業務之金融機構進行新臺幣信用違約交換交易，應依「公開發行公司取得或處分資產處理準則」規定，訂定該類衍生性金融商品交易之處理程序，或納入既有之「從事衍生性商品交易處理程序」辦理。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專業經紀商申請以期貨交易人身分從事避險目的之國內期貨及選擇權契約，應依金管會107年7月31日金管證券字第10703249551號令辦理。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專業經紀商申請以期貨交易人身分從事避險目的之國內期貨及選擇權契約，應依金管會107年7月31日金管證券字第10703249551號令辦理。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專營證券經紀業務之證券商僅得依證券商管理規則第十八條第一項第四款或第十八條之一第一項之轉投資方式擇一持有單一公司股份。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專營證券經紀業務之證券商僅得依證券商管理規則第十八條第一項第四款或第十八條之一第一項之轉投資方式擇一持有單一公司股份。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公司或其直接、間接持股百分之百之子公司，在大陸地區投資創業投資事業、私募股權基金、創業投資管理顧問公司及財務諮詢顧問公司等事業，應向主管機關申請許可，經主管機關核准後再向經濟部投資審議委員會申請許可。</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公司或其直接、間接持股百分之百之子公司，在大陸地區投資創業投資事業、私募股權基金、創業投資管理顧問公司及財務諮詢顧問公司等事業，應向主管機關申請許可，經主管機關核准後再向經濟部投資審議委員會申請許可。</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專業經紀商依證券商管理規則第十八條第一項第四款規定購買符合經主管機關規定一定比率之有價證券，若採全權委託方式辦理時，對受託機構之選任應考慮風險分散、經營績效及利益衝突等，明訂於內部控制制度(註：請公司自訂)，並應經董事會通過，另應定期評估受託機構之經營績效。</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專業經紀商依證券商管理規則第十八條第一項第四款規定購買符合經主管機關規定一定比率之有價證券，若採全權委託方式辦理時，對受託機構之選任應考慮風險分散、經營績效及利益衝突等，明訂於內部控制制度(註：請公司自訂)，並應經董事會通過，另應定期評估受託機構之經營績效。</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公司依規應提存之營業保證金，應以現金、政府債券或金融債券提存。有關營業保證金之提存、提取及更換事宜，應依金管會103年6月3日金管證券字第1030013323B號令辦理(請公司自訂內部控制制度)。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公司依規應提存之營業保證金，應以現金、政府債券或金融債券提存。有關營業保證金之提存、提取及更換事宜，應依金管會103年6月3日金管證券字第1030013323B號令辦理(請公司自訂內部控制制度)。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270"/>
            </w:pPr>
            <w:r>
              <w:rPr>
                <w:rFonts w:hint="eastAsia" w:ascii="新細明體" w:hAnsi="新細明體" w:eastAsia="新細明體" w:cs="新細明體"/>
                <w:b/>
                <w:color w:val="FF0000 "/>
              </w:rPr>
              <w:t>(二十二)</w:t>
            </w:r>
            <w:r>
              <w:rPr>
                <w:rFonts w:hint="eastAsia" w:ascii="新細明體" w:hAnsi="新細明體" w:eastAsia="新細明體" w:cs="新細明體"/>
                <w:b/>
                <w:u w:val="single"/>
                <w:color w:val="FF0000 "/>
              </w:rPr>
              <w:t>依證券交易法第四十三條之一規定，任何人單獨或與他人共同取得任一公開發行公司已發行股份總額超過百分之五之股份者，應向主管機關申報及公告；申報事項如有變動時，亦同。</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pPr>
            <w:r>
              <w:rPr>
                <w:rFonts w:hint="eastAsia" w:ascii="新細明體" w:hAnsi="新細明體" w:eastAsia="新細明體" w:cs="新細明體"/>
                <w:b/>
                <w:color w:val="FF0000 "/>
              </w:rPr>
              <w:t>(新增)</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p>
      <w:r>
        <w:br w:type="page"/>
      </w:r>
    </w:p>
    <w:altChunk r:id="altChunkId_0"/>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aFChunk" Target="/word/afchunk2.docx" Id="altChunkId_0" /></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